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37" w:rsidRPr="00804BB8" w:rsidRDefault="00804BB8" w:rsidP="00E33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04BB8">
        <w:rPr>
          <w:rFonts w:ascii="Times New Roman" w:hAnsi="Times New Roman" w:cs="Times New Roman"/>
          <w:b/>
          <w:bCs/>
          <w:sz w:val="28"/>
          <w:szCs w:val="28"/>
        </w:rPr>
        <w:t>На РК № 305/02-02/5179 от 29.08.2019 г.</w:t>
      </w:r>
    </w:p>
    <w:p w:rsidR="00C32F37" w:rsidRPr="00C719D1" w:rsidRDefault="00C32F37" w:rsidP="00E3377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D1">
        <w:rPr>
          <w:rFonts w:ascii="Times New Roman" w:hAnsi="Times New Roman" w:cs="Times New Roman"/>
          <w:sz w:val="28"/>
          <w:szCs w:val="28"/>
        </w:rPr>
        <w:t>Средняя заработная плата в государственных учреждениях</w:t>
      </w:r>
    </w:p>
    <w:tbl>
      <w:tblPr>
        <w:tblStyle w:val="a3"/>
        <w:tblW w:w="9556" w:type="dxa"/>
        <w:tblLook w:val="04A0" w:firstRow="1" w:lastRow="0" w:firstColumn="1" w:lastColumn="0" w:noHBand="0" w:noVBand="1"/>
      </w:tblPr>
      <w:tblGrid>
        <w:gridCol w:w="2547"/>
        <w:gridCol w:w="2336"/>
        <w:gridCol w:w="2336"/>
        <w:gridCol w:w="2337"/>
      </w:tblGrid>
      <w:tr w:rsidR="00C719D1" w:rsidTr="00C719D1">
        <w:tc>
          <w:tcPr>
            <w:tcW w:w="2547" w:type="dxa"/>
          </w:tcPr>
          <w:p w:rsidR="00C719D1" w:rsidRDefault="00C719D1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виду персонала</w:t>
            </w:r>
          </w:p>
        </w:tc>
        <w:tc>
          <w:tcPr>
            <w:tcW w:w="2336" w:type="dxa"/>
          </w:tcPr>
          <w:p w:rsidR="00C719D1" w:rsidRDefault="00C719D1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год, руб.</w:t>
            </w:r>
          </w:p>
        </w:tc>
        <w:tc>
          <w:tcPr>
            <w:tcW w:w="2336" w:type="dxa"/>
          </w:tcPr>
          <w:p w:rsidR="00C719D1" w:rsidRDefault="00C719D1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год, руб.</w:t>
            </w:r>
          </w:p>
        </w:tc>
        <w:tc>
          <w:tcPr>
            <w:tcW w:w="2337" w:type="dxa"/>
          </w:tcPr>
          <w:p w:rsidR="00C719D1" w:rsidRDefault="00C719D1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01.07.2019 года, руб.</w:t>
            </w:r>
          </w:p>
        </w:tc>
      </w:tr>
      <w:tr w:rsidR="00C719D1" w:rsidTr="00C719D1">
        <w:tc>
          <w:tcPr>
            <w:tcW w:w="2547" w:type="dxa"/>
          </w:tcPr>
          <w:p w:rsidR="00C719D1" w:rsidRDefault="00C719D1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по учреждениям</w:t>
            </w:r>
          </w:p>
        </w:tc>
        <w:tc>
          <w:tcPr>
            <w:tcW w:w="2336" w:type="dxa"/>
          </w:tcPr>
          <w:p w:rsidR="00C719D1" w:rsidRDefault="003349A9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30 729,95</w:t>
            </w:r>
          </w:p>
        </w:tc>
        <w:tc>
          <w:tcPr>
            <w:tcW w:w="2336" w:type="dxa"/>
          </w:tcPr>
          <w:p w:rsidR="00C719D1" w:rsidRDefault="0084369A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39 528,42</w:t>
            </w:r>
          </w:p>
        </w:tc>
        <w:tc>
          <w:tcPr>
            <w:tcW w:w="2337" w:type="dxa"/>
          </w:tcPr>
          <w:p w:rsidR="00C719D1" w:rsidRDefault="00D9338F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43 009,57</w:t>
            </w:r>
          </w:p>
        </w:tc>
      </w:tr>
      <w:tr w:rsidR="00C719D1" w:rsidTr="00C719D1">
        <w:tc>
          <w:tcPr>
            <w:tcW w:w="2547" w:type="dxa"/>
          </w:tcPr>
          <w:p w:rsidR="00C719D1" w:rsidRDefault="00C719D1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2336" w:type="dxa"/>
          </w:tcPr>
          <w:p w:rsidR="00C719D1" w:rsidRDefault="003349A9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34 711,64</w:t>
            </w:r>
          </w:p>
        </w:tc>
        <w:tc>
          <w:tcPr>
            <w:tcW w:w="2336" w:type="dxa"/>
          </w:tcPr>
          <w:p w:rsidR="00C719D1" w:rsidRDefault="0084369A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48 693,35</w:t>
            </w:r>
          </w:p>
        </w:tc>
        <w:tc>
          <w:tcPr>
            <w:tcW w:w="2337" w:type="dxa"/>
          </w:tcPr>
          <w:p w:rsidR="00C719D1" w:rsidRDefault="00994626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52 220,63</w:t>
            </w:r>
          </w:p>
        </w:tc>
      </w:tr>
      <w:tr w:rsidR="00C719D1" w:rsidTr="00C719D1">
        <w:tc>
          <w:tcPr>
            <w:tcW w:w="2547" w:type="dxa"/>
          </w:tcPr>
          <w:p w:rsidR="00C719D1" w:rsidRDefault="00C719D1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Административно-управленческий </w:t>
            </w:r>
            <w:r w:rsidR="00CA3A44">
              <w:rPr>
                <w:rFonts w:ascii="Times New Roman" w:hAnsi="Times New Roman" w:cs="Times New Roman"/>
                <w:sz w:val="28"/>
                <w:szCs w:val="28"/>
              </w:rPr>
              <w:t>и вспомогательный персонал</w:t>
            </w:r>
          </w:p>
        </w:tc>
        <w:tc>
          <w:tcPr>
            <w:tcW w:w="2336" w:type="dxa"/>
          </w:tcPr>
          <w:p w:rsidR="00C719D1" w:rsidRDefault="00771E06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22 633,03</w:t>
            </w:r>
          </w:p>
        </w:tc>
        <w:tc>
          <w:tcPr>
            <w:tcW w:w="2336" w:type="dxa"/>
          </w:tcPr>
          <w:p w:rsidR="00C719D1" w:rsidRDefault="0084369A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26 853,86</w:t>
            </w:r>
          </w:p>
        </w:tc>
        <w:tc>
          <w:tcPr>
            <w:tcW w:w="2337" w:type="dxa"/>
          </w:tcPr>
          <w:p w:rsidR="00C719D1" w:rsidRDefault="00994626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30 187,96</w:t>
            </w:r>
          </w:p>
        </w:tc>
      </w:tr>
    </w:tbl>
    <w:p w:rsidR="00C32F37" w:rsidRDefault="00C32F37" w:rsidP="00E33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F37" w:rsidRPr="00C719D1" w:rsidRDefault="00C32F37" w:rsidP="00E3377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D1">
        <w:rPr>
          <w:rFonts w:ascii="Times New Roman" w:hAnsi="Times New Roman" w:cs="Times New Roman"/>
          <w:sz w:val="28"/>
          <w:szCs w:val="28"/>
        </w:rPr>
        <w:t>Структура фонда оплаты труда в государственных учреждениях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281"/>
        <w:gridCol w:w="2281"/>
        <w:gridCol w:w="2307"/>
      </w:tblGrid>
      <w:tr w:rsidR="00C32F37" w:rsidTr="00C32F37">
        <w:tc>
          <w:tcPr>
            <w:tcW w:w="2336" w:type="dxa"/>
          </w:tcPr>
          <w:p w:rsidR="00C32F37" w:rsidRDefault="00C32F37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 выплат</w:t>
            </w:r>
          </w:p>
        </w:tc>
        <w:tc>
          <w:tcPr>
            <w:tcW w:w="2336" w:type="dxa"/>
          </w:tcPr>
          <w:p w:rsidR="00C32F37" w:rsidRDefault="00C32F37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год, %</w:t>
            </w:r>
          </w:p>
        </w:tc>
        <w:tc>
          <w:tcPr>
            <w:tcW w:w="2336" w:type="dxa"/>
          </w:tcPr>
          <w:p w:rsidR="00C32F37" w:rsidRDefault="00C32F37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год, %</w:t>
            </w:r>
          </w:p>
        </w:tc>
        <w:tc>
          <w:tcPr>
            <w:tcW w:w="2337" w:type="dxa"/>
          </w:tcPr>
          <w:p w:rsidR="00C32F37" w:rsidRDefault="00C32F37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01.07.2019 года, %</w:t>
            </w:r>
          </w:p>
        </w:tc>
      </w:tr>
      <w:tr w:rsidR="00C32F37" w:rsidTr="00C32F37">
        <w:tc>
          <w:tcPr>
            <w:tcW w:w="2336" w:type="dxa"/>
          </w:tcPr>
          <w:p w:rsidR="00C32F37" w:rsidRDefault="00C719D1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окладам, ставкам заработной платы</w:t>
            </w:r>
          </w:p>
        </w:tc>
        <w:tc>
          <w:tcPr>
            <w:tcW w:w="2336" w:type="dxa"/>
          </w:tcPr>
          <w:p w:rsidR="00C32F37" w:rsidRDefault="00033DA9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2336" w:type="dxa"/>
          </w:tcPr>
          <w:p w:rsidR="00C32F37" w:rsidRDefault="000D5240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2337" w:type="dxa"/>
          </w:tcPr>
          <w:p w:rsidR="00C32F37" w:rsidRDefault="000D5240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C32F37" w:rsidTr="00C32F37">
        <w:tc>
          <w:tcPr>
            <w:tcW w:w="2336" w:type="dxa"/>
          </w:tcPr>
          <w:p w:rsidR="00C32F37" w:rsidRDefault="00C719D1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2336" w:type="dxa"/>
          </w:tcPr>
          <w:p w:rsidR="00C32F37" w:rsidRDefault="00033DA9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2336" w:type="dxa"/>
          </w:tcPr>
          <w:p w:rsidR="00C32F37" w:rsidRDefault="000D5240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2337" w:type="dxa"/>
          </w:tcPr>
          <w:p w:rsidR="00C32F37" w:rsidRDefault="000D5240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C32F37" w:rsidTr="00C32F37">
        <w:tc>
          <w:tcPr>
            <w:tcW w:w="2336" w:type="dxa"/>
          </w:tcPr>
          <w:p w:rsidR="00C32F37" w:rsidRDefault="00C719D1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компенсационного характера</w:t>
            </w:r>
          </w:p>
        </w:tc>
        <w:tc>
          <w:tcPr>
            <w:tcW w:w="2336" w:type="dxa"/>
          </w:tcPr>
          <w:p w:rsidR="00C32F37" w:rsidRDefault="00033DA9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336" w:type="dxa"/>
          </w:tcPr>
          <w:p w:rsidR="00C32F37" w:rsidRDefault="000D5240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337" w:type="dxa"/>
          </w:tcPr>
          <w:p w:rsidR="00C32F37" w:rsidRDefault="000D5240" w:rsidP="00E3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</w:tbl>
    <w:p w:rsidR="00C32F37" w:rsidRPr="00C32F37" w:rsidRDefault="00C32F37" w:rsidP="00E33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2993" w:rsidRPr="00CC2993" w:rsidRDefault="00CC2993" w:rsidP="00E3377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3">
        <w:rPr>
          <w:rFonts w:ascii="Times New Roman" w:hAnsi="Times New Roman" w:cs="Times New Roman"/>
          <w:sz w:val="28"/>
          <w:szCs w:val="28"/>
        </w:rPr>
        <w:t xml:space="preserve">В августе 2019 года внесены изменения в Отраслевое примерное положение об оплате труда в государственных бюджетных и автономных учреждениях Архангельской области в сфере здравоохранения, утвержденное постановлением Правительства Архангельской области от 25 декабря </w:t>
      </w:r>
      <w:r w:rsidR="00B129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2993">
        <w:rPr>
          <w:rFonts w:ascii="Times New Roman" w:hAnsi="Times New Roman" w:cs="Times New Roman"/>
          <w:sz w:val="28"/>
          <w:szCs w:val="28"/>
        </w:rPr>
        <w:t xml:space="preserve">2012 года № 600-пп </w:t>
      </w:r>
      <w:r w:rsidRPr="00CC2993">
        <w:rPr>
          <w:rFonts w:ascii="Times New Roman" w:hAnsi="Times New Roman" w:cs="Times New Roman"/>
          <w:bCs/>
          <w:sz w:val="28"/>
          <w:szCs w:val="28"/>
        </w:rPr>
        <w:t xml:space="preserve">в связи с необходимостью повышения </w:t>
      </w:r>
      <w:r w:rsidRPr="00CC2993">
        <w:rPr>
          <w:rFonts w:ascii="Times New Roman" w:hAnsi="Times New Roman" w:cs="Times New Roman"/>
          <w:sz w:val="28"/>
          <w:szCs w:val="28"/>
        </w:rPr>
        <w:t>минимальных размеров должностных окладов в целях соблюдения пункта 69 положения об оплате труда (не менее 55 процентов фонда должно направляться на выплаты по окладам (должностным окладам), ставкам заработной платы). Врачам, среднему и младшему медицинскому персоналу оклады увеличены на 50 процентов, остальному персоналу – на 20 процентов.</w:t>
      </w:r>
    </w:p>
    <w:p w:rsidR="00C719D1" w:rsidRPr="00804BB8" w:rsidRDefault="00CC2993" w:rsidP="00804BB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C2993">
        <w:rPr>
          <w:rFonts w:ascii="Times New Roman" w:hAnsi="Times New Roman" w:cs="Times New Roman"/>
          <w:sz w:val="28"/>
          <w:szCs w:val="28"/>
        </w:rPr>
        <w:t>В сентябре подготовлен проект</w:t>
      </w:r>
      <w:r w:rsidRPr="00CC2993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Архангельской области </w:t>
      </w:r>
      <w:r w:rsidRPr="00CC2993">
        <w:rPr>
          <w:rFonts w:ascii="Times New Roman" w:hAnsi="Times New Roman" w:cs="Times New Roman"/>
          <w:sz w:val="28"/>
          <w:szCs w:val="28"/>
        </w:rPr>
        <w:t xml:space="preserve">«О внесении изменений в Отраслевое примерное положение об оплате труда в государственных бюджетных и автономных учреждениях Архангельской области в сфере здравоохранения» </w:t>
      </w:r>
      <w:r w:rsidRPr="00CC2993">
        <w:rPr>
          <w:rFonts w:ascii="Times New Roman" w:hAnsi="Times New Roman" w:cs="Times New Roman"/>
          <w:bCs/>
          <w:sz w:val="28"/>
          <w:szCs w:val="28"/>
        </w:rPr>
        <w:t xml:space="preserve">подготовлен в связи с необходимостью повышения </w:t>
      </w:r>
      <w:r w:rsidRPr="00CC2993">
        <w:rPr>
          <w:rFonts w:ascii="Times New Roman" w:hAnsi="Times New Roman" w:cs="Times New Roman"/>
          <w:sz w:val="28"/>
          <w:szCs w:val="28"/>
        </w:rPr>
        <w:t xml:space="preserve">минимальных размеров должностных окладов в целях </w:t>
      </w:r>
      <w:r w:rsidRPr="00CC2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индексации заработных плат работников государственных </w:t>
      </w:r>
      <w:r w:rsidRPr="00CC29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организаций</w:t>
      </w:r>
      <w:r w:rsidRPr="00CC2993">
        <w:rPr>
          <w:rFonts w:ascii="Times New Roman" w:hAnsi="Times New Roman" w:cs="Times New Roman"/>
          <w:sz w:val="28"/>
          <w:szCs w:val="28"/>
        </w:rPr>
        <w:t xml:space="preserve"> </w:t>
      </w:r>
      <w:r w:rsidRPr="00CC2993">
        <w:rPr>
          <w:rFonts w:ascii="Times New Roman" w:hAnsi="Times New Roman" w:cs="Times New Roman"/>
          <w:sz w:val="28"/>
          <w:szCs w:val="28"/>
          <w:shd w:val="clear" w:color="auto" w:fill="FFFFFF"/>
        </w:rPr>
        <w:t>с 1 октября 2019 года на 4,3 процента</w:t>
      </w:r>
      <w:r w:rsidR="00744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(как в системе обязательного медицинского страхования так и за счет бюджетных средств)</w:t>
      </w:r>
      <w:r w:rsidRPr="00CC29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377D" w:rsidRPr="00E3377D" w:rsidRDefault="00E3377D" w:rsidP="00E3377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77D">
        <w:rPr>
          <w:rFonts w:ascii="Times New Roman" w:hAnsi="Times New Roman"/>
          <w:sz w:val="28"/>
          <w:szCs w:val="28"/>
        </w:rPr>
        <w:t xml:space="preserve">На 2019 год в государственных учреждениях, подведомственных министерству здравоохранения Архангельской области (далее – министерство) и финансируемых за счет субсидии из областного бюджета, средства на увеличение МРОТ были предусмотрены в необходимом объеме. </w:t>
      </w:r>
    </w:p>
    <w:p w:rsidR="00E3377D" w:rsidRPr="00E6460D" w:rsidRDefault="00E3377D" w:rsidP="00E646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77D">
        <w:rPr>
          <w:rFonts w:ascii="Times New Roman" w:hAnsi="Times New Roman"/>
          <w:sz w:val="28"/>
          <w:szCs w:val="28"/>
        </w:rPr>
        <w:t>При этом в медицинских учреждениях, работающих в системе обязательного медицинского страхования, а это большая часть финансирования, образовался дефицит средств, в следствии чего не представляется возможным дифференци</w:t>
      </w:r>
      <w:r w:rsidR="00E6460D">
        <w:rPr>
          <w:rFonts w:ascii="Times New Roman" w:hAnsi="Times New Roman"/>
          <w:sz w:val="28"/>
          <w:szCs w:val="28"/>
        </w:rPr>
        <w:t>ировать</w:t>
      </w:r>
      <w:r w:rsidRPr="00E3377D">
        <w:rPr>
          <w:rFonts w:ascii="Times New Roman" w:hAnsi="Times New Roman"/>
          <w:sz w:val="28"/>
          <w:szCs w:val="28"/>
        </w:rPr>
        <w:t xml:space="preserve"> оплат</w:t>
      </w:r>
      <w:r w:rsidR="00E6460D">
        <w:rPr>
          <w:rFonts w:ascii="Times New Roman" w:hAnsi="Times New Roman"/>
          <w:sz w:val="28"/>
          <w:szCs w:val="28"/>
        </w:rPr>
        <w:t>у</w:t>
      </w:r>
      <w:r w:rsidRPr="00E3377D">
        <w:rPr>
          <w:rFonts w:ascii="Times New Roman" w:hAnsi="Times New Roman"/>
          <w:sz w:val="28"/>
          <w:szCs w:val="28"/>
        </w:rPr>
        <w:t xml:space="preserve"> труда работников </w:t>
      </w:r>
      <w:r w:rsidR="00E6460D">
        <w:rPr>
          <w:rFonts w:ascii="Times New Roman" w:hAnsi="Times New Roman"/>
          <w:sz w:val="28"/>
          <w:szCs w:val="28"/>
        </w:rPr>
        <w:t xml:space="preserve">медицинских организаций </w:t>
      </w:r>
      <w:r w:rsidRPr="00E3377D">
        <w:rPr>
          <w:rFonts w:ascii="Times New Roman" w:hAnsi="Times New Roman"/>
          <w:sz w:val="28"/>
          <w:szCs w:val="28"/>
        </w:rPr>
        <w:t xml:space="preserve">Архангельской области. </w:t>
      </w:r>
      <w:r w:rsidRPr="00E33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заработной платы до </w:t>
      </w:r>
      <w:r w:rsidRPr="00E3377D">
        <w:rPr>
          <w:rFonts w:ascii="Times New Roman" w:hAnsi="Times New Roman"/>
          <w:sz w:val="28"/>
          <w:szCs w:val="28"/>
        </w:rPr>
        <w:t>минимального размера оплаты труда</w:t>
      </w:r>
      <w:r w:rsidRPr="00E33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за счет внутренних источников.</w:t>
      </w:r>
    </w:p>
    <w:p w:rsidR="00E3377D" w:rsidRPr="00E3377D" w:rsidRDefault="00E3377D" w:rsidP="00E3377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7D">
        <w:rPr>
          <w:rFonts w:ascii="Times New Roman" w:hAnsi="Times New Roman" w:cs="Times New Roman"/>
          <w:sz w:val="28"/>
          <w:szCs w:val="28"/>
        </w:rPr>
        <w:t>В целом штаты государственных медицинских организаций за период с 1 апреля 2018 года по 1 июля 2019 года уменьшились на 1</w:t>
      </w:r>
      <w:r w:rsidR="00E6460D">
        <w:rPr>
          <w:rFonts w:ascii="Times New Roman" w:hAnsi="Times New Roman" w:cs="Times New Roman"/>
          <w:sz w:val="28"/>
          <w:szCs w:val="28"/>
        </w:rPr>
        <w:t xml:space="preserve"> </w:t>
      </w:r>
      <w:r w:rsidRPr="00E3377D">
        <w:rPr>
          <w:rFonts w:ascii="Times New Roman" w:hAnsi="Times New Roman" w:cs="Times New Roman"/>
          <w:sz w:val="28"/>
          <w:szCs w:val="28"/>
        </w:rPr>
        <w:t xml:space="preserve">452,6 единиц </w:t>
      </w:r>
      <w:r w:rsidRPr="00E3377D">
        <w:rPr>
          <w:rFonts w:ascii="Times New Roman" w:hAnsi="Times New Roman" w:cs="Times New Roman"/>
          <w:sz w:val="28"/>
          <w:szCs w:val="28"/>
        </w:rPr>
        <w:br/>
        <w:t>(с 35</w:t>
      </w:r>
      <w:r w:rsidR="00E6460D">
        <w:rPr>
          <w:rFonts w:ascii="Times New Roman" w:hAnsi="Times New Roman" w:cs="Times New Roman"/>
          <w:sz w:val="28"/>
          <w:szCs w:val="28"/>
        </w:rPr>
        <w:t xml:space="preserve"> </w:t>
      </w:r>
      <w:r w:rsidRPr="00E3377D">
        <w:rPr>
          <w:rFonts w:ascii="Times New Roman" w:hAnsi="Times New Roman" w:cs="Times New Roman"/>
          <w:sz w:val="28"/>
          <w:szCs w:val="28"/>
        </w:rPr>
        <w:t>222,8 ед. до 33</w:t>
      </w:r>
      <w:r w:rsidR="00E6460D">
        <w:rPr>
          <w:rFonts w:ascii="Times New Roman" w:hAnsi="Times New Roman" w:cs="Times New Roman"/>
          <w:sz w:val="28"/>
          <w:szCs w:val="28"/>
        </w:rPr>
        <w:t xml:space="preserve"> </w:t>
      </w:r>
      <w:r w:rsidRPr="00E3377D">
        <w:rPr>
          <w:rFonts w:ascii="Times New Roman" w:hAnsi="Times New Roman" w:cs="Times New Roman"/>
          <w:sz w:val="28"/>
          <w:szCs w:val="28"/>
        </w:rPr>
        <w:t>770,2 ед.), в том числе за период с 1 января 2019 года по 1 июля 2019 года на 626,8.</w:t>
      </w:r>
    </w:p>
    <w:p w:rsidR="00E3377D" w:rsidRPr="00E3377D" w:rsidRDefault="00E3377D" w:rsidP="00E3377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7D">
        <w:rPr>
          <w:rFonts w:ascii="Times New Roman" w:hAnsi="Times New Roman" w:cs="Times New Roman"/>
          <w:sz w:val="28"/>
          <w:szCs w:val="28"/>
        </w:rPr>
        <w:t>Количество работников, которые получают месячную заработную плату в размере МРОТ уменьшилось в период с 1 января 2019 года по 1 июля 2019 года на 1</w:t>
      </w:r>
      <w:r w:rsidR="00E6460D">
        <w:rPr>
          <w:rFonts w:ascii="Times New Roman" w:hAnsi="Times New Roman" w:cs="Times New Roman"/>
          <w:sz w:val="28"/>
          <w:szCs w:val="28"/>
        </w:rPr>
        <w:t xml:space="preserve"> </w:t>
      </w:r>
      <w:r w:rsidRPr="00E3377D">
        <w:rPr>
          <w:rFonts w:ascii="Times New Roman" w:hAnsi="Times New Roman" w:cs="Times New Roman"/>
          <w:sz w:val="28"/>
          <w:szCs w:val="28"/>
        </w:rPr>
        <w:t xml:space="preserve">074 человек, в том числе в период с 1 апреля 2019 года по 1 июля 2019 года на 683 человека . </w:t>
      </w:r>
    </w:p>
    <w:p w:rsidR="00C719D1" w:rsidRPr="00C719D1" w:rsidRDefault="00C719D1" w:rsidP="00E3377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32F37" w:rsidRPr="00C719D1" w:rsidRDefault="00C719D1" w:rsidP="00C719D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19D1">
        <w:rPr>
          <w:rFonts w:ascii="Times New Roman" w:hAnsi="Times New Roman" w:cs="Times New Roman"/>
          <w:sz w:val="28"/>
          <w:szCs w:val="28"/>
        </w:rPr>
        <w:t>Оптимизация в государственных учреждениях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1264"/>
        <w:gridCol w:w="1678"/>
        <w:gridCol w:w="1972"/>
        <w:gridCol w:w="1941"/>
      </w:tblGrid>
      <w:tr w:rsidR="00C719D1" w:rsidTr="00C719D1">
        <w:tc>
          <w:tcPr>
            <w:tcW w:w="2490" w:type="dxa"/>
          </w:tcPr>
          <w:p w:rsidR="00C719D1" w:rsidRDefault="00C719D1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C719D1" w:rsidRDefault="00C719D1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78" w:type="dxa"/>
          </w:tcPr>
          <w:p w:rsidR="00C719D1" w:rsidRDefault="00C719D1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72" w:type="dxa"/>
          </w:tcPr>
          <w:p w:rsidR="00C719D1" w:rsidRDefault="00C719D1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01.07.2019 года</w:t>
            </w:r>
          </w:p>
        </w:tc>
        <w:tc>
          <w:tcPr>
            <w:tcW w:w="1941" w:type="dxa"/>
          </w:tcPr>
          <w:p w:rsidR="00C719D1" w:rsidRDefault="00C719D1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период</w:t>
            </w:r>
          </w:p>
        </w:tc>
      </w:tr>
      <w:tr w:rsidR="00C719D1" w:rsidTr="00C719D1">
        <w:tc>
          <w:tcPr>
            <w:tcW w:w="2490" w:type="dxa"/>
          </w:tcPr>
          <w:p w:rsidR="00C719D1" w:rsidRDefault="00C719D1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 учреждений</w:t>
            </w:r>
          </w:p>
        </w:tc>
        <w:tc>
          <w:tcPr>
            <w:tcW w:w="1264" w:type="dxa"/>
          </w:tcPr>
          <w:p w:rsidR="00C719D1" w:rsidRDefault="00B129B5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C719D1" w:rsidRDefault="00B129B5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C719D1" w:rsidRDefault="000D5240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C719D1" w:rsidRDefault="000D5240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9D1" w:rsidTr="00C719D1">
        <w:tc>
          <w:tcPr>
            <w:tcW w:w="2490" w:type="dxa"/>
          </w:tcPr>
          <w:p w:rsidR="00C719D1" w:rsidRDefault="00C719D1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Реорганизовано путём присоединения к другому учреждению</w:t>
            </w:r>
          </w:p>
        </w:tc>
        <w:tc>
          <w:tcPr>
            <w:tcW w:w="1264" w:type="dxa"/>
          </w:tcPr>
          <w:p w:rsidR="00C719D1" w:rsidRDefault="000D5240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C719D1" w:rsidRDefault="000D5240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C719D1" w:rsidRDefault="000D5240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C719D1" w:rsidRDefault="000D5240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9D1" w:rsidTr="00C719D1">
        <w:tc>
          <w:tcPr>
            <w:tcW w:w="2490" w:type="dxa"/>
          </w:tcPr>
          <w:p w:rsidR="00C719D1" w:rsidRDefault="00C719D1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Сокращено человек</w:t>
            </w:r>
          </w:p>
        </w:tc>
        <w:tc>
          <w:tcPr>
            <w:tcW w:w="1264" w:type="dxa"/>
          </w:tcPr>
          <w:p w:rsidR="00C719D1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678" w:type="dxa"/>
          </w:tcPr>
          <w:p w:rsidR="00C719D1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972" w:type="dxa"/>
          </w:tcPr>
          <w:p w:rsidR="00C719D1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941" w:type="dxa"/>
          </w:tcPr>
          <w:p w:rsidR="00C719D1" w:rsidRDefault="00B129B5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</w:tr>
    </w:tbl>
    <w:p w:rsidR="00C719D1" w:rsidRPr="00C719D1" w:rsidRDefault="00C719D1" w:rsidP="00C719D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совместительства</w:t>
      </w:r>
      <w:r w:rsidRPr="00C719D1">
        <w:rPr>
          <w:rFonts w:ascii="Times New Roman" w:hAnsi="Times New Roman" w:cs="Times New Roman"/>
          <w:sz w:val="28"/>
          <w:szCs w:val="28"/>
        </w:rPr>
        <w:t xml:space="preserve"> в государственных учреждениях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2126"/>
      </w:tblGrid>
      <w:tr w:rsidR="00307A9A" w:rsidTr="00307A9A">
        <w:tc>
          <w:tcPr>
            <w:tcW w:w="3823" w:type="dxa"/>
          </w:tcPr>
          <w:p w:rsidR="00307A9A" w:rsidRDefault="00307A9A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7A9A" w:rsidRDefault="00307A9A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307A9A" w:rsidRDefault="00307A9A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6" w:type="dxa"/>
          </w:tcPr>
          <w:p w:rsidR="00307A9A" w:rsidRDefault="00307A9A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01.07.2019 года</w:t>
            </w:r>
          </w:p>
        </w:tc>
      </w:tr>
      <w:tr w:rsidR="00307A9A" w:rsidTr="00307A9A">
        <w:tc>
          <w:tcPr>
            <w:tcW w:w="3823" w:type="dxa"/>
          </w:tcPr>
          <w:p w:rsidR="00307A9A" w:rsidRDefault="00307A9A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по учреждению</w:t>
            </w:r>
          </w:p>
        </w:tc>
        <w:tc>
          <w:tcPr>
            <w:tcW w:w="1701" w:type="dxa"/>
          </w:tcPr>
          <w:p w:rsidR="00307A9A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701" w:type="dxa"/>
          </w:tcPr>
          <w:p w:rsidR="00307A9A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2126" w:type="dxa"/>
          </w:tcPr>
          <w:p w:rsidR="00307A9A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307A9A" w:rsidTr="00307A9A">
        <w:tc>
          <w:tcPr>
            <w:tcW w:w="3823" w:type="dxa"/>
          </w:tcPr>
          <w:p w:rsidR="00307A9A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AD">
              <w:rPr>
                <w:rFonts w:ascii="Times New Roman" w:hAnsi="Times New Roman" w:cs="Times New Roman"/>
                <w:sz w:val="28"/>
                <w:szCs w:val="28"/>
              </w:rPr>
              <w:t xml:space="preserve">Врачи и работники медицинских организаций, имеющие высшее медицинское (фармацевтическое) или иное </w:t>
            </w:r>
            <w:r w:rsidRPr="00CE4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701" w:type="dxa"/>
          </w:tcPr>
          <w:p w:rsidR="00307A9A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1,27</w:t>
            </w:r>
          </w:p>
        </w:tc>
        <w:tc>
          <w:tcPr>
            <w:tcW w:w="1701" w:type="dxa"/>
          </w:tcPr>
          <w:p w:rsidR="00307A9A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2126" w:type="dxa"/>
          </w:tcPr>
          <w:p w:rsidR="00307A9A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307A9A" w:rsidTr="00307A9A">
        <w:tc>
          <w:tcPr>
            <w:tcW w:w="3823" w:type="dxa"/>
          </w:tcPr>
          <w:p w:rsidR="00307A9A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медицинский персонал</w:t>
            </w:r>
          </w:p>
        </w:tc>
        <w:tc>
          <w:tcPr>
            <w:tcW w:w="1701" w:type="dxa"/>
          </w:tcPr>
          <w:p w:rsidR="00307A9A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701" w:type="dxa"/>
          </w:tcPr>
          <w:p w:rsidR="00307A9A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2126" w:type="dxa"/>
          </w:tcPr>
          <w:p w:rsidR="00307A9A" w:rsidRDefault="00CE4AAD" w:rsidP="002F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</w:tbl>
    <w:p w:rsidR="00C32F37" w:rsidRDefault="00C32F37" w:rsidP="00C32F37">
      <w:pPr>
        <w:rPr>
          <w:rFonts w:ascii="Times New Roman" w:hAnsi="Times New Roman" w:cs="Times New Roman"/>
          <w:sz w:val="28"/>
          <w:szCs w:val="28"/>
        </w:rPr>
      </w:pPr>
    </w:p>
    <w:p w:rsidR="00307A9A" w:rsidRPr="00307A9A" w:rsidRDefault="00307A9A" w:rsidP="00307A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9A">
        <w:rPr>
          <w:rFonts w:ascii="Times New Roman" w:hAnsi="Times New Roman" w:cs="Times New Roman"/>
          <w:sz w:val="28"/>
          <w:szCs w:val="28"/>
        </w:rPr>
        <w:t xml:space="preserve">Стоимость территориальной программы обязательного медицинского страхования Архангельской области на 2019 год (далее – Программа) составляет 22 407,4 млн. рублей с ростом к 2018 году </w:t>
      </w:r>
      <w:r w:rsidR="00B129B5">
        <w:rPr>
          <w:rFonts w:ascii="Times New Roman" w:hAnsi="Times New Roman" w:cs="Times New Roman"/>
          <w:sz w:val="28"/>
          <w:szCs w:val="28"/>
        </w:rPr>
        <w:t xml:space="preserve">   </w:t>
      </w:r>
      <w:r w:rsidRPr="00307A9A">
        <w:rPr>
          <w:rFonts w:ascii="Times New Roman" w:hAnsi="Times New Roman" w:cs="Times New Roman"/>
          <w:sz w:val="28"/>
          <w:szCs w:val="28"/>
        </w:rPr>
        <w:t>на 1 008,3 млн. рублей или на 4,7 процента</w:t>
      </w:r>
      <w:r w:rsidR="00B129B5">
        <w:rPr>
          <w:rFonts w:ascii="Times New Roman" w:hAnsi="Times New Roman" w:cs="Times New Roman"/>
          <w:sz w:val="28"/>
          <w:szCs w:val="28"/>
        </w:rPr>
        <w:t>. Средств субсидии недостаточно для обеспечения уровня заработной платы, выплат минимального размера заработной платы,</w:t>
      </w:r>
      <w:r w:rsidRPr="00307A9A">
        <w:rPr>
          <w:rFonts w:ascii="Times New Roman" w:hAnsi="Times New Roman" w:cs="Times New Roman"/>
          <w:sz w:val="28"/>
          <w:szCs w:val="28"/>
        </w:rPr>
        <w:t xml:space="preserve"> что</w:t>
      </w:r>
      <w:r w:rsidR="00B129B5">
        <w:rPr>
          <w:rFonts w:ascii="Times New Roman" w:hAnsi="Times New Roman" w:cs="Times New Roman"/>
          <w:sz w:val="28"/>
          <w:szCs w:val="28"/>
        </w:rPr>
        <w:t xml:space="preserve"> </w:t>
      </w:r>
      <w:r w:rsidRPr="00307A9A">
        <w:rPr>
          <w:rFonts w:ascii="Times New Roman" w:hAnsi="Times New Roman" w:cs="Times New Roman"/>
          <w:sz w:val="28"/>
          <w:szCs w:val="28"/>
        </w:rPr>
        <w:t>обусловлено снижением коэффициента дифференциации, используемого для расчета субвенции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из бюджета Федерального фонда обязательного медицинского страхования бюджетам территориальных фондов обязательного медицинского страхования, с 1,703 в 2018 году до 1,646 в 2019 году, а также снижением численности застрахованного по обязательному медицинскому страхованию населения.</w:t>
      </w:r>
    </w:p>
    <w:p w:rsidR="00307A9A" w:rsidRPr="00307A9A" w:rsidRDefault="00307A9A" w:rsidP="00307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9A">
        <w:rPr>
          <w:rFonts w:ascii="Times New Roman" w:hAnsi="Times New Roman" w:cs="Times New Roman"/>
          <w:sz w:val="28"/>
          <w:szCs w:val="28"/>
        </w:rPr>
        <w:t>Кроме того, исходя из установленных Программой государственных гарантий бесплатного оказания гражданам медицинской помощи на 2019 год и на плановый период 2020 и 2021 годов средних нормативов объема и средних нормативов финансовых затрат на единицу объема медицинской помощи по профилю «онкология», расчетная стоимость для Архангельской области составляет 2 171,3 млн. рублей (в том числе в условиях круглосуточного стационара 1 325,5 млн. рублей, в условиях дневного стационар</w:t>
      </w:r>
      <w:r w:rsidR="00B129B5">
        <w:rPr>
          <w:rFonts w:ascii="Times New Roman" w:hAnsi="Times New Roman" w:cs="Times New Roman"/>
          <w:sz w:val="28"/>
          <w:szCs w:val="28"/>
        </w:rPr>
        <w:t>а</w:t>
      </w:r>
      <w:r w:rsidRPr="00307A9A">
        <w:rPr>
          <w:rFonts w:ascii="Times New Roman" w:hAnsi="Times New Roman" w:cs="Times New Roman"/>
          <w:sz w:val="28"/>
          <w:szCs w:val="28"/>
        </w:rPr>
        <w:t xml:space="preserve"> 845,8 млн. рублей), что превышает расход по данному профилю за 2018 год    в 2,2 раза. Это привело к перераспределению стоимости с других профилей медицинской помощи и, соответственно, к снижению финансовой наполняемости бюджетов медицинских организаций, не оказывающих онкологическую помощь.</w:t>
      </w:r>
    </w:p>
    <w:p w:rsidR="00307A9A" w:rsidRPr="00307A9A" w:rsidRDefault="00307A9A" w:rsidP="00307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9A">
        <w:rPr>
          <w:rFonts w:ascii="Times New Roman" w:hAnsi="Times New Roman" w:cs="Times New Roman"/>
          <w:sz w:val="28"/>
          <w:szCs w:val="28"/>
        </w:rPr>
        <w:t>Учитывая вышесказанное, сохранить достигнутые показатели средней заработной платы по отдельным категориям медицинских работников на уровне 2018 года не представляется возможным.</w:t>
      </w:r>
    </w:p>
    <w:p w:rsidR="008758A3" w:rsidRDefault="00307A9A" w:rsidP="008101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9A">
        <w:rPr>
          <w:rFonts w:ascii="Times New Roman" w:hAnsi="Times New Roman" w:cs="Times New Roman"/>
          <w:sz w:val="28"/>
          <w:szCs w:val="28"/>
        </w:rPr>
        <w:t>Ожидаемое исполнение целевых показателей в 2019 году по заработной плате по врачам и работникам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составит не более 195 процентов, по  среднему медицинскому персоналу – не более 95  процентов.</w:t>
      </w:r>
    </w:p>
    <w:p w:rsidR="008758A3" w:rsidRPr="008758A3" w:rsidRDefault="008758A3" w:rsidP="0081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8A3">
        <w:rPr>
          <w:rFonts w:ascii="Times New Roman" w:hAnsi="Times New Roman" w:cs="Times New Roman"/>
          <w:sz w:val="20"/>
          <w:szCs w:val="20"/>
        </w:rPr>
        <w:lastRenderedPageBreak/>
        <w:t>Хроменкова Любовь Юрьевна</w:t>
      </w:r>
    </w:p>
    <w:p w:rsidR="008758A3" w:rsidRPr="008758A3" w:rsidRDefault="008758A3" w:rsidP="0081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8A3">
        <w:rPr>
          <w:rFonts w:ascii="Times New Roman" w:hAnsi="Times New Roman" w:cs="Times New Roman"/>
          <w:sz w:val="20"/>
          <w:szCs w:val="20"/>
        </w:rPr>
        <w:t>(8182) 45-44-89</w:t>
      </w:r>
    </w:p>
    <w:sectPr w:rsidR="008758A3" w:rsidRPr="0087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5F" w:rsidRDefault="0027385F" w:rsidP="00307A9A">
      <w:pPr>
        <w:spacing w:after="0" w:line="240" w:lineRule="auto"/>
      </w:pPr>
      <w:r>
        <w:separator/>
      </w:r>
    </w:p>
  </w:endnote>
  <w:endnote w:type="continuationSeparator" w:id="0">
    <w:p w:rsidR="0027385F" w:rsidRDefault="0027385F" w:rsidP="0030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5F" w:rsidRDefault="0027385F" w:rsidP="00307A9A">
      <w:pPr>
        <w:spacing w:after="0" w:line="240" w:lineRule="auto"/>
      </w:pPr>
      <w:r>
        <w:separator/>
      </w:r>
    </w:p>
  </w:footnote>
  <w:footnote w:type="continuationSeparator" w:id="0">
    <w:p w:rsidR="0027385F" w:rsidRDefault="0027385F" w:rsidP="0030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C594F"/>
    <w:multiLevelType w:val="hybridMultilevel"/>
    <w:tmpl w:val="3AFC3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621E"/>
    <w:multiLevelType w:val="hybridMultilevel"/>
    <w:tmpl w:val="3AFC3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37"/>
    <w:rsid w:val="00033DA9"/>
    <w:rsid w:val="000C618E"/>
    <w:rsid w:val="000D5240"/>
    <w:rsid w:val="0027385F"/>
    <w:rsid w:val="00307A9A"/>
    <w:rsid w:val="003349A9"/>
    <w:rsid w:val="004C0506"/>
    <w:rsid w:val="007442C2"/>
    <w:rsid w:val="00771E06"/>
    <w:rsid w:val="0077253D"/>
    <w:rsid w:val="00804BB8"/>
    <w:rsid w:val="008101F4"/>
    <w:rsid w:val="0084369A"/>
    <w:rsid w:val="008758A3"/>
    <w:rsid w:val="00994626"/>
    <w:rsid w:val="00B129B5"/>
    <w:rsid w:val="00BC6815"/>
    <w:rsid w:val="00C32F37"/>
    <w:rsid w:val="00C719D1"/>
    <w:rsid w:val="00CA3A44"/>
    <w:rsid w:val="00CC2993"/>
    <w:rsid w:val="00CE4AAD"/>
    <w:rsid w:val="00CF08E1"/>
    <w:rsid w:val="00D9338F"/>
    <w:rsid w:val="00E3377D"/>
    <w:rsid w:val="00E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494A-B5E0-4080-8633-65BB7CA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9D1"/>
    <w:pPr>
      <w:ind w:left="720"/>
      <w:contextualSpacing/>
    </w:pPr>
  </w:style>
  <w:style w:type="paragraph" w:customStyle="1" w:styleId="CharChar">
    <w:name w:val="Char Char"/>
    <w:basedOn w:val="a"/>
    <w:autoRedefine/>
    <w:rsid w:val="00307A9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30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A9A"/>
  </w:style>
  <w:style w:type="paragraph" w:styleId="a7">
    <w:name w:val="footer"/>
    <w:basedOn w:val="a"/>
    <w:link w:val="a8"/>
    <w:uiPriority w:val="99"/>
    <w:unhideWhenUsed/>
    <w:rsid w:val="0030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Хроменкова Любовь Юрьевна</dc:creator>
  <cp:keywords/>
  <dc:description/>
  <cp:lastModifiedBy>Копица-Елезова Светлана Михайловна</cp:lastModifiedBy>
  <cp:revision>2</cp:revision>
  <dcterms:created xsi:type="dcterms:W3CDTF">2019-09-09T12:13:00Z</dcterms:created>
  <dcterms:modified xsi:type="dcterms:W3CDTF">2019-09-09T12:13:00Z</dcterms:modified>
</cp:coreProperties>
</file>